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E6" w:rsidRDefault="00521FE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521FE6" w:rsidRDefault="00521FE6" w:rsidP="003A3BB9">
      <w:pPr>
        <w:adjustRightInd w:val="0"/>
        <w:snapToGrid w:val="0"/>
        <w:spacing w:beforeLines="50" w:afterLines="50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黑体" w:cs="方正小标宋简体" w:hint="eastAsia"/>
          <w:sz w:val="32"/>
          <w:szCs w:val="32"/>
        </w:rPr>
        <w:t>浙江海洋大学省部级及以上教学平台、专业建设项目一览表</w:t>
      </w:r>
    </w:p>
    <w:p w:rsidR="00521FE6" w:rsidRDefault="00521FE6" w:rsidP="003B66C4">
      <w:pPr>
        <w:rPr>
          <w:rFonts w:cs="Times New Roman"/>
        </w:rPr>
      </w:pPr>
    </w:p>
    <w:tbl>
      <w:tblPr>
        <w:tblpPr w:leftFromText="180" w:rightFromText="180" w:vertAnchor="text" w:horzAnchor="page" w:tblpX="1642" w:tblpY="88"/>
        <w:tblOverlap w:val="never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3"/>
        <w:gridCol w:w="954"/>
        <w:gridCol w:w="6269"/>
      </w:tblGrid>
      <w:tr w:rsidR="00521FE6" w:rsidRPr="003B66C4">
        <w:trPr>
          <w:trHeight w:hRule="exact" w:val="624"/>
          <w:tblHeader/>
        </w:trPr>
        <w:tc>
          <w:tcPr>
            <w:tcW w:w="1723" w:type="dxa"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2"/>
                <w:szCs w:val="22"/>
              </w:rPr>
            </w:pPr>
            <w:r w:rsidRPr="003B66C4"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2"/>
                <w:szCs w:val="22"/>
              </w:rPr>
            </w:pPr>
            <w:r w:rsidRPr="003B66C4"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2"/>
                <w:szCs w:val="22"/>
              </w:rPr>
            </w:pPr>
            <w:r w:rsidRPr="003B66C4"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</w:tr>
      <w:tr w:rsidR="00521FE6" w:rsidRPr="003B66C4">
        <w:trPr>
          <w:trHeight w:val="652"/>
        </w:trPr>
        <w:tc>
          <w:tcPr>
            <w:tcW w:w="1723" w:type="dxa"/>
            <w:vMerge w:val="restart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国家级</w:t>
            </w:r>
          </w:p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教学平台</w:t>
            </w: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国家级实验教学示范中心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——</w:t>
            </w: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船海与</w:t>
            </w:r>
          </w:p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港航工程实验教学中心</w:t>
            </w:r>
          </w:p>
        </w:tc>
      </w:tr>
      <w:tr w:rsidR="00521FE6" w:rsidRPr="003B66C4">
        <w:trPr>
          <w:trHeight w:val="652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国家级大学生校外实践教育基地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——</w:t>
            </w:r>
          </w:p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浙江海洋学院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</w:t>
            </w: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扬帆集团股份有限</w:t>
            </w:r>
          </w:p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公司工程实践教育中心</w:t>
            </w:r>
          </w:p>
        </w:tc>
      </w:tr>
      <w:tr w:rsidR="00521FE6" w:rsidRPr="003B66C4">
        <w:trPr>
          <w:trHeight w:val="652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国家级大学生校外实践教育基地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——</w:t>
            </w:r>
          </w:p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中国海洋大学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</w:t>
            </w: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长江口及其邻近海域海洋科学野外综合实践教育基地（共建）</w:t>
            </w:r>
          </w:p>
        </w:tc>
      </w:tr>
      <w:tr w:rsidR="00521FE6" w:rsidRPr="003B66C4">
        <w:trPr>
          <w:trHeight w:val="44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中国海洋科技创新引智园区创新人才培养示范基地（共建）</w:t>
            </w:r>
          </w:p>
        </w:tc>
      </w:tr>
      <w:tr w:rsidR="00521FE6" w:rsidRPr="003B66C4">
        <w:trPr>
          <w:trHeight w:val="652"/>
        </w:trPr>
        <w:tc>
          <w:tcPr>
            <w:tcW w:w="1723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国家卓越农林计划</w:t>
            </w: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国家卓越农林人才教育培养计划改革试点项目（海洋渔业科学与技术实用技能型）</w:t>
            </w:r>
          </w:p>
        </w:tc>
      </w:tr>
      <w:tr w:rsidR="00521FE6" w:rsidRPr="003B66C4">
        <w:trPr>
          <w:trHeight w:val="332"/>
        </w:trPr>
        <w:tc>
          <w:tcPr>
            <w:tcW w:w="1723" w:type="dxa"/>
            <w:vMerge w:val="restart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国家特色专业</w:t>
            </w: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国家特色专业（船舶与海洋工程）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国家特色专业（海洋渔业科学与技术）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 w:val="restart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3B66C4">
              <w:rPr>
                <w:rFonts w:ascii="仿宋_GB2312" w:eastAsia="仿宋_GB2312" w:cs="仿宋_GB2312" w:hint="eastAsia"/>
                <w:sz w:val="22"/>
                <w:szCs w:val="22"/>
              </w:rPr>
              <w:t>国家一流本科专业</w:t>
            </w: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海洋科学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船舶与海洋工程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机械设计制造及其自动化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海洋渔业科学与技术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 w:val="restart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3B66C4">
              <w:rPr>
                <w:rFonts w:ascii="仿宋_GB2312" w:eastAsia="仿宋_GB2312" w:cs="仿宋_GB2312" w:hint="eastAsia"/>
                <w:sz w:val="22"/>
                <w:szCs w:val="22"/>
              </w:rPr>
              <w:t>浙江省一流本科专业</w:t>
            </w: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轮机工程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海洋资源与环境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油气储运工程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行政管理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数学与应用数学（师范）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汉语言文学（师范）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生物科学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英语</w:t>
            </w:r>
          </w:p>
        </w:tc>
      </w:tr>
      <w:tr w:rsidR="00521FE6" w:rsidRPr="003B66C4">
        <w:trPr>
          <w:trHeight w:val="407"/>
        </w:trPr>
        <w:tc>
          <w:tcPr>
            <w:tcW w:w="1723" w:type="dxa"/>
            <w:vMerge w:val="restart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spacing w:val="-4"/>
                <w:kern w:val="0"/>
                <w:sz w:val="22"/>
                <w:szCs w:val="22"/>
              </w:rPr>
              <w:t>省级</w:t>
            </w:r>
          </w:p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spacing w:val="-4"/>
                <w:kern w:val="0"/>
                <w:sz w:val="22"/>
                <w:szCs w:val="22"/>
              </w:rPr>
              <w:t>实验教学</w:t>
            </w:r>
          </w:p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spacing w:val="-4"/>
                <w:kern w:val="0"/>
                <w:sz w:val="22"/>
                <w:szCs w:val="22"/>
              </w:rPr>
              <w:t>示范中心</w:t>
            </w:r>
          </w:p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物理实验教学中心</w:t>
            </w:r>
          </w:p>
        </w:tc>
      </w:tr>
      <w:tr w:rsidR="00521FE6" w:rsidRPr="003B66C4">
        <w:trPr>
          <w:trHeight w:val="40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生物实验教学中心</w:t>
            </w:r>
          </w:p>
        </w:tc>
      </w:tr>
      <w:tr w:rsidR="00521FE6" w:rsidRPr="003B66C4">
        <w:trPr>
          <w:trHeight w:val="392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电工电子实验教学中心</w:t>
            </w:r>
          </w:p>
        </w:tc>
      </w:tr>
      <w:tr w:rsidR="00521FE6" w:rsidRPr="003B66C4">
        <w:trPr>
          <w:trHeight w:val="422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船舶与临港工程实验教学中心</w:t>
            </w:r>
          </w:p>
        </w:tc>
      </w:tr>
      <w:tr w:rsidR="00521FE6" w:rsidRPr="003B66C4">
        <w:trPr>
          <w:trHeight w:val="347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水产实验教学中心</w:t>
            </w:r>
          </w:p>
        </w:tc>
      </w:tr>
      <w:tr w:rsidR="00521FE6" w:rsidRPr="003B66C4">
        <w:trPr>
          <w:trHeight w:val="515"/>
        </w:trPr>
        <w:tc>
          <w:tcPr>
            <w:tcW w:w="1723" w:type="dxa"/>
            <w:vMerge/>
          </w:tcPr>
          <w:p w:rsidR="00521FE6" w:rsidRPr="003B66C4" w:rsidRDefault="00521FE6" w:rsidP="00E90561">
            <w:pPr>
              <w:adjustRightInd w:val="0"/>
              <w:snapToGrid w:val="0"/>
              <w:rPr>
                <w:rFonts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工程技术实训教学中心</w:t>
            </w:r>
          </w:p>
        </w:tc>
      </w:tr>
      <w:tr w:rsidR="00521FE6" w:rsidRPr="003B66C4">
        <w:trPr>
          <w:trHeight w:val="652"/>
        </w:trPr>
        <w:tc>
          <w:tcPr>
            <w:tcW w:w="1723" w:type="dxa"/>
            <w:vMerge w:val="restart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spacing w:val="-4"/>
                <w:kern w:val="0"/>
                <w:sz w:val="22"/>
                <w:szCs w:val="22"/>
              </w:rPr>
              <w:t>省部级</w:t>
            </w:r>
          </w:p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spacing w:val="-4"/>
                <w:kern w:val="0"/>
                <w:sz w:val="22"/>
                <w:szCs w:val="22"/>
              </w:rPr>
              <w:t>实践教育</w:t>
            </w:r>
          </w:p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spacing w:val="-4"/>
                <w:kern w:val="0"/>
                <w:sz w:val="22"/>
                <w:szCs w:val="22"/>
              </w:rPr>
              <w:t>基地</w:t>
            </w: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浙江海洋学院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</w:t>
            </w: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中化兴中石油转运（舟山）有限公司工程实践教育中心</w:t>
            </w:r>
          </w:p>
        </w:tc>
      </w:tr>
      <w:tr w:rsidR="00521FE6" w:rsidRPr="003B66C4">
        <w:trPr>
          <w:trHeight w:val="452"/>
        </w:trPr>
        <w:tc>
          <w:tcPr>
            <w:tcW w:w="1723" w:type="dxa"/>
            <w:vMerge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浙江海洋学院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</w:t>
            </w: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扬帆集团股份有限公司工程实践教育中心</w:t>
            </w:r>
          </w:p>
        </w:tc>
      </w:tr>
      <w:tr w:rsidR="00521FE6" w:rsidRPr="003B66C4">
        <w:trPr>
          <w:trHeight w:val="652"/>
        </w:trPr>
        <w:tc>
          <w:tcPr>
            <w:tcW w:w="1723" w:type="dxa"/>
            <w:vMerge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浙江海洋学院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</w:t>
            </w: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浙江大海洋科技有限公司海洋科学研究生教育创新示范基地</w:t>
            </w:r>
          </w:p>
        </w:tc>
      </w:tr>
      <w:tr w:rsidR="00521FE6" w:rsidRPr="003B66C4">
        <w:trPr>
          <w:trHeight w:val="412"/>
        </w:trPr>
        <w:tc>
          <w:tcPr>
            <w:tcW w:w="1723" w:type="dxa"/>
            <w:vMerge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浙江省教师教育基地</w:t>
            </w:r>
          </w:p>
        </w:tc>
      </w:tr>
      <w:tr w:rsidR="00521FE6" w:rsidRPr="003B66C4">
        <w:trPr>
          <w:trHeight w:val="437"/>
        </w:trPr>
        <w:tc>
          <w:tcPr>
            <w:tcW w:w="1723" w:type="dxa"/>
            <w:vMerge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全国海洋意识教育基地、全国科普教育基地（浙江海洋大学海洋生物博物馆）</w:t>
            </w:r>
          </w:p>
        </w:tc>
      </w:tr>
      <w:tr w:rsidR="00521FE6" w:rsidRPr="003B66C4">
        <w:trPr>
          <w:trHeight w:val="457"/>
        </w:trPr>
        <w:tc>
          <w:tcPr>
            <w:tcW w:w="1723" w:type="dxa"/>
            <w:vMerge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中国学校海岛野外生存实验基地</w:t>
            </w:r>
          </w:p>
        </w:tc>
      </w:tr>
      <w:tr w:rsidR="00521FE6" w:rsidRPr="003B66C4">
        <w:trPr>
          <w:trHeight w:val="457"/>
        </w:trPr>
        <w:tc>
          <w:tcPr>
            <w:tcW w:w="1723" w:type="dxa"/>
            <w:vMerge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中国（浙江）自贸区油气全产业链产教融合基地（省级产教融合示范基地）</w:t>
            </w:r>
          </w:p>
        </w:tc>
      </w:tr>
      <w:tr w:rsidR="00521FE6" w:rsidRPr="003B66C4">
        <w:trPr>
          <w:trHeight w:val="457"/>
        </w:trPr>
        <w:tc>
          <w:tcPr>
            <w:tcW w:w="1723" w:type="dxa"/>
            <w:vMerge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浙江海洋大学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</w:t>
            </w: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浙江太和航运有限公司海洋科学类专业野外实践基地</w:t>
            </w:r>
          </w:p>
        </w:tc>
      </w:tr>
      <w:tr w:rsidR="00521FE6" w:rsidRPr="003B66C4">
        <w:trPr>
          <w:trHeight w:val="457"/>
        </w:trPr>
        <w:tc>
          <w:tcPr>
            <w:tcW w:w="1723" w:type="dxa"/>
            <w:vMerge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:rsidR="00521FE6" w:rsidRPr="003B66C4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6269" w:type="dxa"/>
            <w:vAlign w:val="center"/>
          </w:tcPr>
          <w:p w:rsidR="00521FE6" w:rsidRPr="003B66C4" w:rsidRDefault="00521FE6" w:rsidP="00E9056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浙江海洋大学</w:t>
            </w:r>
            <w:r w:rsidRPr="003B66C4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—</w:t>
            </w:r>
            <w:r w:rsidRPr="003B66C4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浙江海洋水产研究所水产养殖农科教合作人才培养基地</w:t>
            </w:r>
          </w:p>
        </w:tc>
      </w:tr>
    </w:tbl>
    <w:p w:rsidR="00521FE6" w:rsidRDefault="00521FE6" w:rsidP="003B66C4">
      <w:pPr>
        <w:adjustRightInd w:val="0"/>
        <w:snapToGrid w:val="0"/>
        <w:rPr>
          <w:rFonts w:ascii="黑体" w:eastAsia="黑体" w:hAnsi="黑体" w:cs="Times New Roman"/>
          <w:sz w:val="32"/>
          <w:szCs w:val="32"/>
        </w:rPr>
      </w:pPr>
    </w:p>
    <w:p w:rsidR="00521FE6" w:rsidRPr="003B66C4" w:rsidRDefault="00521FE6">
      <w:pPr>
        <w:rPr>
          <w:rFonts w:cs="Times New Roman"/>
        </w:rPr>
      </w:pPr>
    </w:p>
    <w:p w:rsidR="00521FE6" w:rsidRDefault="00521FE6" w:rsidP="003A3BB9">
      <w:pPr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spacing w:beforeLines="50" w:afterLines="50"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方正小标宋简体" w:eastAsia="方正小标宋简体" w:hAnsi="黑体" w:cs="方正小标宋简体" w:hint="eastAsia"/>
          <w:sz w:val="32"/>
          <w:szCs w:val="32"/>
        </w:rPr>
        <w:t>浙江海洋大学省部级及以上科研平台一览表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4"/>
        <w:gridCol w:w="1025"/>
        <w:gridCol w:w="6427"/>
      </w:tblGrid>
      <w:tr w:rsidR="00521FE6">
        <w:trPr>
          <w:trHeight w:val="397"/>
          <w:tblHeader/>
          <w:jc w:val="center"/>
        </w:trPr>
        <w:tc>
          <w:tcPr>
            <w:tcW w:w="1494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  <w:t>名称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 w:val="restart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国</w:t>
            </w:r>
          </w:p>
          <w:p w:rsidR="00521FE6" w:rsidRDefault="00521FE6" w:rsidP="00E90561">
            <w:pPr>
              <w:adjustRightInd w:val="0"/>
              <w:snapToGrid w:val="0"/>
              <w:ind w:left="24" w:hangingChars="11" w:hanging="24"/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家</w:t>
            </w:r>
          </w:p>
          <w:p w:rsidR="00521FE6" w:rsidRDefault="00521FE6" w:rsidP="00E90561">
            <w:pPr>
              <w:adjustRightInd w:val="0"/>
              <w:snapToGrid w:val="0"/>
              <w:ind w:left="24" w:hangingChars="11" w:hanging="24"/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国家海洋设施养殖工程技术研究中心</w:t>
            </w:r>
          </w:p>
        </w:tc>
      </w:tr>
      <w:tr w:rsidR="00521FE6">
        <w:trPr>
          <w:trHeight w:val="471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海洋生物种质资源发掘利用国家地方联合</w:t>
            </w:r>
          </w:p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工程实验室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海洋领域国际科技合作基地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临港石油天然气储运技术国家地方联合工程实验室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 w:val="restart"/>
            <w:vAlign w:val="center"/>
          </w:tcPr>
          <w:p w:rsidR="00521FE6" w:rsidRDefault="00521FE6" w:rsidP="00E90561">
            <w:pPr>
              <w:adjustRightInd w:val="0"/>
              <w:snapToGrid w:val="0"/>
              <w:ind w:left="23" w:hangingChars="11" w:hanging="23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4"/>
                <w:sz w:val="22"/>
                <w:szCs w:val="22"/>
              </w:rPr>
              <w:t>省</w:t>
            </w:r>
          </w:p>
          <w:p w:rsidR="00521FE6" w:rsidRDefault="00521FE6" w:rsidP="00E90561">
            <w:pPr>
              <w:adjustRightInd w:val="0"/>
              <w:snapToGrid w:val="0"/>
              <w:ind w:left="23" w:hangingChars="11" w:hanging="23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4"/>
                <w:sz w:val="22"/>
                <w:szCs w:val="22"/>
              </w:rPr>
              <w:t>部</w:t>
            </w:r>
          </w:p>
          <w:p w:rsidR="00521FE6" w:rsidRDefault="00521FE6" w:rsidP="00E90561">
            <w:pPr>
              <w:adjustRightInd w:val="0"/>
              <w:snapToGrid w:val="0"/>
              <w:ind w:left="23" w:hangingChars="11" w:hanging="23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4"/>
                <w:sz w:val="22"/>
                <w:szCs w:val="22"/>
              </w:rPr>
              <w:t>级</w:t>
            </w: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国家头足类水产品加工技术研发分中心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农业部渔业环境及水产品质量监督检验测试中心（舟山）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adjustRightInd w:val="0"/>
              <w:snapToGrid w:val="0"/>
              <w:ind w:left="23" w:hangingChars="11" w:hanging="23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农业部重点渔场渔业资源科学观测实验站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adjustRightInd w:val="0"/>
              <w:snapToGrid w:val="0"/>
              <w:ind w:left="23" w:hangingChars="11" w:hanging="23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浙江省海水增养殖重点实验室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adjustRightInd w:val="0"/>
              <w:snapToGrid w:val="0"/>
              <w:ind w:left="23" w:hangingChars="11" w:hanging="23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浙江省海洋养殖装备与工程技术重点实验室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cs="Times New Roman"/>
                <w:color w:val="000000"/>
                <w:sz w:val="9"/>
                <w:szCs w:val="9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浙江省船舶先进制造技术研发中心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浙江省海洋渔业资源可持续利用技术研究重点实验室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24" w:hangingChars="11" w:hanging="24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浙江省水产品加工技术研究联合重点实验室</w:t>
            </w: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共建</w:t>
            </w: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)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653" w:hangingChars="297" w:hanging="653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浙江省海洋渔业装备技术研究重点实验室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sz w:val="22"/>
                <w:szCs w:val="22"/>
              </w:rPr>
              <w:t>浙江省近海海洋工程技术重点实验室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sz w:val="22"/>
                <w:szCs w:val="22"/>
              </w:rPr>
              <w:t>浙江省海产品健康危害因素关键技术研究重点实验室</w:t>
            </w: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（共建）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widowControl/>
              <w:adjustRightInd w:val="0"/>
              <w:snapToGrid w:val="0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sz w:val="22"/>
                <w:szCs w:val="22"/>
              </w:rPr>
              <w:t>浙江省海洋大数据挖掘与应用重点实验室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ind w:left="653" w:hangingChars="297" w:hanging="653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浙江省海洋增养殖工程技术研究中心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浙江省海洋生物医用制品工程技术研究中心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rPr>
                <w:rFonts w:ascii="仿宋_GB2312" w:eastAsia="仿宋_GB2312" w:hAnsi="宋体" w:cs="Times New Roman"/>
                <w:color w:val="000000"/>
                <w:spacing w:val="-6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sz w:val="22"/>
                <w:szCs w:val="22"/>
              </w:rPr>
              <w:t>海洋生物种质资源发掘浙江省工程实验室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adjustRightInd w:val="0"/>
              <w:snapToGrid w:val="0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sz w:val="22"/>
                <w:szCs w:val="22"/>
              </w:rPr>
              <w:t>石油天然气储运技术工程实验室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cs="Times New Roman"/>
                <w:color w:val="000000"/>
                <w:sz w:val="9"/>
                <w:szCs w:val="9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东海区渔业资源动态监测网浙江省监测站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ascii="仿宋_GB2312" w:eastAsia="仿宋_GB2312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浙江省石油化工环境污染控制重点实验室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ascii="仿宋_GB2312" w:eastAsia="仿宋_GB2312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海洋牧场资源增殖与利用工作站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ascii="仿宋_GB2312" w:eastAsia="仿宋_GB2312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水产品加工及贮藏技术国际科技合作基地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ascii="仿宋_GB2312" w:eastAsia="仿宋_GB2312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浙江海洋药物研究中心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ascii="仿宋_GB2312" w:eastAsia="仿宋_GB2312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江海通达新船型研发中心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ascii="仿宋_GB2312" w:eastAsia="仿宋_GB2312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浙江海洋功能保健产品研发中心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pStyle w:val="NormalWeb"/>
              <w:rPr>
                <w:rFonts w:ascii="仿宋_GB2312" w:eastAsia="仿宋_GB2312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2"/>
                <w:sz w:val="22"/>
                <w:szCs w:val="22"/>
              </w:rPr>
              <w:t>海洋设施养殖工程技术协同创新中心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中国海洋文化研究中心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浙江省非物质文化遗产研究基地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中国特色社会主义理论体系建设基地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非洲沿海国家研究中心</w:t>
            </w:r>
          </w:p>
        </w:tc>
      </w:tr>
      <w:tr w:rsidR="00521FE6">
        <w:trPr>
          <w:trHeight w:val="397"/>
          <w:jc w:val="center"/>
        </w:trPr>
        <w:tc>
          <w:tcPr>
            <w:tcW w:w="1494" w:type="dxa"/>
            <w:vMerge/>
            <w:vAlign w:val="center"/>
          </w:tcPr>
          <w:p w:rsidR="00521FE6" w:rsidRDefault="00521FE6" w:rsidP="00E90561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21FE6" w:rsidRDefault="00521FE6" w:rsidP="00E9056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427" w:type="dxa"/>
            <w:vAlign w:val="center"/>
          </w:tcPr>
          <w:p w:rsidR="00521FE6" w:rsidRDefault="00521FE6" w:rsidP="00E90561">
            <w:pPr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浙江舟山群岛新区研究中心</w:t>
            </w:r>
          </w:p>
        </w:tc>
      </w:tr>
    </w:tbl>
    <w:p w:rsidR="00521FE6" w:rsidRDefault="00521FE6" w:rsidP="00667815">
      <w:pPr>
        <w:rPr>
          <w:rFonts w:cs="Times New Roman"/>
        </w:rPr>
      </w:pPr>
    </w:p>
    <w:p w:rsidR="00521FE6" w:rsidRPr="00667815" w:rsidRDefault="00521FE6">
      <w:pPr>
        <w:rPr>
          <w:rFonts w:cs="Times New Roman"/>
        </w:rPr>
      </w:pPr>
    </w:p>
    <w:p w:rsidR="00521FE6" w:rsidRDefault="00521FE6">
      <w:pPr>
        <w:rPr>
          <w:rFonts w:cs="Times New Roman"/>
        </w:rPr>
      </w:pPr>
    </w:p>
    <w:p w:rsidR="00521FE6" w:rsidRDefault="00521FE6">
      <w:pPr>
        <w:rPr>
          <w:rFonts w:cs="Times New Roman"/>
        </w:rPr>
      </w:pPr>
    </w:p>
    <w:p w:rsidR="00521FE6" w:rsidRDefault="00521FE6">
      <w:pPr>
        <w:rPr>
          <w:rFonts w:cs="Times New Roman"/>
        </w:rPr>
      </w:pPr>
    </w:p>
    <w:p w:rsidR="00521FE6" w:rsidRDefault="00521FE6">
      <w:pPr>
        <w:rPr>
          <w:rFonts w:cs="Times New Roman"/>
        </w:rPr>
      </w:pPr>
    </w:p>
    <w:p w:rsidR="00521FE6" w:rsidRDefault="00521FE6">
      <w:pPr>
        <w:rPr>
          <w:rFonts w:cs="Times New Roman"/>
        </w:rPr>
      </w:pPr>
    </w:p>
    <w:p w:rsidR="00521FE6" w:rsidRDefault="00521FE6">
      <w:pPr>
        <w:rPr>
          <w:rFonts w:cs="Times New Roman"/>
        </w:rPr>
      </w:pPr>
    </w:p>
    <w:p w:rsidR="00521FE6" w:rsidRDefault="00521FE6">
      <w:pPr>
        <w:rPr>
          <w:rFonts w:cs="Times New Roman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p w:rsidR="00521FE6" w:rsidRDefault="00521FE6" w:rsidP="003A3BB9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黑体" w:cs="方正小标宋简体" w:hint="eastAsia"/>
          <w:sz w:val="32"/>
          <w:szCs w:val="32"/>
        </w:rPr>
        <w:t>浙江海洋大学省部级及以上重点学科一览表</w:t>
      </w:r>
    </w:p>
    <w:tbl>
      <w:tblPr>
        <w:tblW w:w="7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33"/>
        <w:gridCol w:w="2912"/>
        <w:gridCol w:w="3220"/>
      </w:tblGrid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2"/>
                <w:szCs w:val="22"/>
              </w:rPr>
              <w:t>学科名称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2"/>
                <w:szCs w:val="22"/>
              </w:rPr>
              <w:t>学科类别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海洋渔业科学与技术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第二批省重中之重学科</w:t>
            </w:r>
          </w:p>
        </w:tc>
      </w:tr>
      <w:tr w:rsidR="00521FE6">
        <w:trPr>
          <w:trHeight w:hRule="exact" w:val="1034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水产品加工及贮藏工程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第五批增列省重点学科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船舶与海洋结构物设计制造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第五批增列省重点学科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A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海洋生物学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第五批省重点学科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A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行政管理学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第五批省重点学科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海洋科学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A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</w:rPr>
              <w:t>水产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A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食品科学与工程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交通运输工程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中国史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数学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石油与天然气工程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  <w:tr w:rsidR="00521FE6">
        <w:trPr>
          <w:trHeight w:hRule="exact" w:val="680"/>
          <w:jc w:val="center"/>
        </w:trPr>
        <w:tc>
          <w:tcPr>
            <w:tcW w:w="123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2914" w:type="dxa"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机械工程</w:t>
            </w:r>
          </w:p>
        </w:tc>
        <w:tc>
          <w:tcPr>
            <w:tcW w:w="3223" w:type="dxa"/>
            <w:vAlign w:val="center"/>
          </w:tcPr>
          <w:p w:rsidR="00521FE6" w:rsidRDefault="00521FE6">
            <w:pPr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“十三五”省一流学科（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类）</w:t>
            </w:r>
          </w:p>
        </w:tc>
      </w:tr>
    </w:tbl>
    <w:p w:rsidR="00521FE6" w:rsidRDefault="00521FE6" w:rsidP="00667815">
      <w:pPr>
        <w:rPr>
          <w:rFonts w:cs="Times New Roman"/>
        </w:rPr>
      </w:pPr>
    </w:p>
    <w:p w:rsidR="00521FE6" w:rsidRDefault="00521FE6" w:rsidP="00667815">
      <w:pPr>
        <w:rPr>
          <w:rFonts w:cs="Times New Roman"/>
        </w:rPr>
      </w:pPr>
    </w:p>
    <w:p w:rsidR="00521FE6" w:rsidRDefault="00521FE6" w:rsidP="00667815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</w:p>
    <w:p w:rsidR="00521FE6" w:rsidRDefault="00521FE6" w:rsidP="00667815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</w:p>
    <w:p w:rsidR="00521FE6" w:rsidRDefault="00521FE6" w:rsidP="00667815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</w:p>
    <w:p w:rsidR="00521FE6" w:rsidRDefault="00521FE6" w:rsidP="00667815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</w:p>
    <w:p w:rsidR="00521FE6" w:rsidRDefault="00521FE6" w:rsidP="00667815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浙江海洋大学硕士学位授权点</w:t>
      </w:r>
    </w:p>
    <w:p w:rsidR="00521FE6" w:rsidRDefault="00521FE6" w:rsidP="00667815">
      <w:pPr>
        <w:adjustRightInd w:val="0"/>
        <w:snapToGrid w:val="0"/>
        <w:jc w:val="center"/>
        <w:rPr>
          <w:rFonts w:eastAsia="方正小标宋简体" w:cs="Times New Roman"/>
          <w:sz w:val="32"/>
          <w:szCs w:val="32"/>
        </w:rPr>
      </w:pPr>
    </w:p>
    <w:tbl>
      <w:tblPr>
        <w:tblW w:w="9150" w:type="dxa"/>
        <w:jc w:val="center"/>
        <w:tblLayout w:type="fixed"/>
        <w:tblLook w:val="00A0"/>
      </w:tblPr>
      <w:tblGrid>
        <w:gridCol w:w="717"/>
        <w:gridCol w:w="2747"/>
        <w:gridCol w:w="2027"/>
        <w:gridCol w:w="3659"/>
      </w:tblGrid>
      <w:tr w:rsidR="00521FE6">
        <w:trPr>
          <w:trHeight w:val="40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学位点名称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一级学科硕士学位授权点</w:t>
            </w:r>
          </w:p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海洋科学（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0707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船舶与海洋工程（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水产（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0908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食品科学与工程（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石油与天然气工程（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39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农林经济管理（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1203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机械工程（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数学（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0701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水利工程（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专业学位硕士授权点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农业（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0951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渔业发展领域（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095134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食品加工与安全领域（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095135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农业工程与信息技术领域（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095136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农业管理领域（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095137)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农村发展领域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(095138)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交通运输（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0861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交通运输领域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(086100)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教育（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0451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旅游管理（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1254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药学（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1055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资源与环境（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0857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0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土木水利（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0859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21FE6">
        <w:trPr>
          <w:trHeight w:val="42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1FE6" w:rsidRDefault="00521FE6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生物与医药（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0860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521FE6" w:rsidRDefault="00521FE6" w:rsidP="00667815">
      <w:pPr>
        <w:adjustRightInd w:val="0"/>
        <w:snapToGrid w:val="0"/>
        <w:rPr>
          <w:rFonts w:ascii="方正小标宋简体" w:eastAsia="方正小标宋简体" w:hAnsi="黑体" w:cs="Times New Roman"/>
          <w:sz w:val="22"/>
          <w:szCs w:val="22"/>
        </w:rPr>
      </w:pPr>
    </w:p>
    <w:p w:rsidR="00521FE6" w:rsidRDefault="00521FE6" w:rsidP="00CD509F">
      <w:pPr>
        <w:adjustRightInd w:val="0"/>
        <w:snapToGrid w:val="0"/>
        <w:spacing w:beforeLines="50" w:afterLines="50" w:line="360" w:lineRule="auto"/>
        <w:jc w:val="center"/>
        <w:rPr>
          <w:rFonts w:ascii="方正小标宋简体" w:eastAsia="方正小标宋简体" w:hAnsi="黑体" w:cs="Times New Roman"/>
          <w:sz w:val="22"/>
          <w:szCs w:val="22"/>
        </w:rPr>
      </w:pPr>
    </w:p>
    <w:sectPr w:rsidR="00521FE6" w:rsidSect="0082381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E6" w:rsidRDefault="00521FE6" w:rsidP="008238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1FE6" w:rsidRDefault="00521FE6" w:rsidP="008238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E6" w:rsidRDefault="00521FE6" w:rsidP="008238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1FE6" w:rsidRDefault="00521FE6" w:rsidP="008238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E6" w:rsidRDefault="00521FE6" w:rsidP="003A3BB9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81A"/>
    <w:rsid w:val="00211225"/>
    <w:rsid w:val="00253646"/>
    <w:rsid w:val="00316622"/>
    <w:rsid w:val="003A3BB9"/>
    <w:rsid w:val="003B66C4"/>
    <w:rsid w:val="00521FE6"/>
    <w:rsid w:val="00667815"/>
    <w:rsid w:val="00732069"/>
    <w:rsid w:val="00794DC9"/>
    <w:rsid w:val="0082381A"/>
    <w:rsid w:val="00A44F12"/>
    <w:rsid w:val="00B54EA4"/>
    <w:rsid w:val="00CD509F"/>
    <w:rsid w:val="00CF662A"/>
    <w:rsid w:val="00E742B7"/>
    <w:rsid w:val="00E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1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381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381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2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381A"/>
    <w:rPr>
      <w:sz w:val="18"/>
      <w:szCs w:val="18"/>
    </w:rPr>
  </w:style>
  <w:style w:type="paragraph" w:styleId="NormalWeb">
    <w:name w:val="Normal (Web)"/>
    <w:basedOn w:val="Normal"/>
    <w:uiPriority w:val="99"/>
    <w:rsid w:val="008238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82381A"/>
    <w:rPr>
      <w:rFonts w:ascii="宋体" w:eastAsia="宋体" w:hAnsi="宋体" w:cs="宋体"/>
      <w:color w:val="auto"/>
      <w:sz w:val="9"/>
      <w:szCs w:val="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373</Words>
  <Characters>2130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Administrator</dc:creator>
  <cp:keywords/>
  <dc:description/>
  <cp:lastModifiedBy>abcd</cp:lastModifiedBy>
  <cp:revision>2</cp:revision>
  <dcterms:created xsi:type="dcterms:W3CDTF">2022-03-15T05:57:00Z</dcterms:created>
  <dcterms:modified xsi:type="dcterms:W3CDTF">2022-03-15T05:57:00Z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b082e51ffa914d158ca1211437cca736</vt:lpwstr>
  </property>
</Properties>
</file>